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7DC62" w14:textId="4221AC15" w:rsidR="00870626" w:rsidRDefault="00870626" w:rsidP="00870626">
      <w:pPr>
        <w:jc w:val="right"/>
        <w:outlineLvl w:val="0"/>
        <w:rPr>
          <w:b/>
        </w:rPr>
      </w:pPr>
      <w:r w:rsidRPr="0044239B">
        <w:rPr>
          <w:b/>
          <w:noProof/>
        </w:rPr>
        <w:drawing>
          <wp:inline distT="0" distB="0" distL="0" distR="0" wp14:anchorId="0286A2D2" wp14:editId="0221150E">
            <wp:extent cx="1952625" cy="714375"/>
            <wp:effectExtent l="0" t="0" r="9525" b="9525"/>
            <wp:docPr id="1" name="Picture 1" descr="Newcastle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castle University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E9CEE" w14:textId="77777777" w:rsidR="00870626" w:rsidRPr="00685D22" w:rsidRDefault="00870626" w:rsidP="00870626">
      <w:pPr>
        <w:spacing w:after="0" w:line="240" w:lineRule="auto"/>
        <w:jc w:val="center"/>
        <w:outlineLvl w:val="0"/>
        <w:rPr>
          <w:b/>
        </w:rPr>
      </w:pPr>
      <w:r w:rsidRPr="00685D22">
        <w:rPr>
          <w:b/>
        </w:rPr>
        <w:t xml:space="preserve">Speech and Language Sciences </w:t>
      </w:r>
    </w:p>
    <w:p w14:paraId="44371DB8" w14:textId="77777777" w:rsidR="00870626" w:rsidRPr="00685D22" w:rsidRDefault="00870626" w:rsidP="00870626">
      <w:pPr>
        <w:spacing w:after="0" w:line="240" w:lineRule="auto"/>
        <w:jc w:val="center"/>
        <w:rPr>
          <w:b/>
        </w:rPr>
      </w:pPr>
      <w:r w:rsidRPr="00685D22">
        <w:rPr>
          <w:b/>
        </w:rPr>
        <w:t>School of Education, Communication and Language Sciences</w:t>
      </w:r>
    </w:p>
    <w:p w14:paraId="159E8F7D" w14:textId="4A31677F" w:rsidR="005B7F6D" w:rsidRDefault="00870626" w:rsidP="00870626">
      <w:pPr>
        <w:spacing w:after="0" w:line="240" w:lineRule="auto"/>
        <w:jc w:val="center"/>
        <w:rPr>
          <w:b/>
        </w:rPr>
      </w:pPr>
      <w:r w:rsidRPr="00685D22">
        <w:rPr>
          <w:b/>
        </w:rPr>
        <w:t>Newcastle University</w:t>
      </w:r>
    </w:p>
    <w:p w14:paraId="645C4075" w14:textId="77777777" w:rsidR="00870626" w:rsidRPr="00870626" w:rsidRDefault="00870626" w:rsidP="00870626">
      <w:pPr>
        <w:jc w:val="center"/>
        <w:rPr>
          <w:b/>
        </w:rPr>
      </w:pPr>
    </w:p>
    <w:p w14:paraId="682BA355" w14:textId="20D38AD5" w:rsidR="004A69D6" w:rsidRPr="00870626" w:rsidRDefault="00BE7115" w:rsidP="00870626">
      <w:pPr>
        <w:pStyle w:val="Heading1"/>
        <w:jc w:val="center"/>
      </w:pPr>
      <w:r w:rsidRPr="004A69D6">
        <w:t xml:space="preserve">Helpful Hints for </w:t>
      </w:r>
      <w:r w:rsidR="0051163A" w:rsidRPr="004A69D6">
        <w:t>Supporting Inter-professional</w:t>
      </w:r>
      <w:r w:rsidR="00F51B9B" w:rsidRPr="004A69D6">
        <w:t xml:space="preserve"> Working and</w:t>
      </w:r>
      <w:r w:rsidR="0051163A" w:rsidRPr="004A69D6">
        <w:t xml:space="preserve"> Learning on Placement</w:t>
      </w:r>
    </w:p>
    <w:p w14:paraId="134C8FBC" w14:textId="77777777" w:rsidR="004A69D6" w:rsidRPr="00C83D7B" w:rsidRDefault="004A69D6" w:rsidP="004A69D6">
      <w:pPr>
        <w:spacing w:before="240" w:after="240" w:line="360" w:lineRule="auto"/>
        <w:rPr>
          <w:rFonts w:cs="Arial"/>
          <w:b/>
          <w:sz w:val="24"/>
          <w:szCs w:val="24"/>
        </w:rPr>
      </w:pPr>
      <w:r w:rsidRPr="00C83D7B">
        <w:rPr>
          <w:rFonts w:cs="Arial"/>
          <w:b/>
          <w:i/>
          <w:sz w:val="24"/>
          <w:szCs w:val="24"/>
        </w:rPr>
        <w:t>Inter-professional Working (IPW)</w:t>
      </w:r>
      <w:r w:rsidRPr="00C83D7B">
        <w:rPr>
          <w:rFonts w:cs="Arial"/>
          <w:sz w:val="24"/>
          <w:szCs w:val="24"/>
        </w:rPr>
        <w:t xml:space="preserve"> – Opportunities for students to work alongside/with other professionals </w:t>
      </w:r>
    </w:p>
    <w:p w14:paraId="59FCE8B4" w14:textId="7D184FE2" w:rsidR="00C70073" w:rsidRPr="00C83D7B" w:rsidRDefault="004A69D6" w:rsidP="00C70073">
      <w:pPr>
        <w:spacing w:after="0" w:line="360" w:lineRule="auto"/>
        <w:rPr>
          <w:rFonts w:cs="Arial"/>
          <w:sz w:val="24"/>
          <w:szCs w:val="24"/>
        </w:rPr>
      </w:pPr>
      <w:r w:rsidRPr="00C83D7B">
        <w:rPr>
          <w:rFonts w:cs="Arial"/>
          <w:b/>
          <w:i/>
          <w:sz w:val="24"/>
          <w:szCs w:val="24"/>
        </w:rPr>
        <w:t>Inter-professional Learning (IPL)</w:t>
      </w:r>
      <w:r w:rsidRPr="00C83D7B">
        <w:rPr>
          <w:rFonts w:cs="Arial"/>
          <w:sz w:val="24"/>
          <w:szCs w:val="24"/>
        </w:rPr>
        <w:t xml:space="preserve"> – Opportunities to learn with students from other professional groups working within the same setting or across different settings</w:t>
      </w:r>
    </w:p>
    <w:p w14:paraId="35A473AF" w14:textId="0BE0CAA2" w:rsidR="00C70073" w:rsidRPr="00C83D7B" w:rsidRDefault="004A69D6" w:rsidP="004A69D6">
      <w:pPr>
        <w:spacing w:before="240" w:after="240" w:line="360" w:lineRule="auto"/>
        <w:rPr>
          <w:rFonts w:eastAsia="Times New Roman" w:cs="Arial"/>
          <w:sz w:val="24"/>
          <w:szCs w:val="24"/>
          <w:lang w:val="en" w:eastAsia="en-GB"/>
        </w:rPr>
      </w:pPr>
      <w:r w:rsidRPr="00C83D7B">
        <w:rPr>
          <w:rFonts w:cs="Arial"/>
          <w:sz w:val="24"/>
          <w:szCs w:val="24"/>
        </w:rPr>
        <w:t xml:space="preserve">The following hints </w:t>
      </w:r>
      <w:r w:rsidR="00C83D7B">
        <w:rPr>
          <w:rFonts w:cs="Arial"/>
          <w:sz w:val="24"/>
          <w:szCs w:val="24"/>
        </w:rPr>
        <w:t>are intended to support practice placement</w:t>
      </w:r>
      <w:r w:rsidRPr="00C83D7B">
        <w:rPr>
          <w:rFonts w:cs="Arial"/>
          <w:sz w:val="24"/>
          <w:szCs w:val="24"/>
        </w:rPr>
        <w:t xml:space="preserve"> educators to have a greater awareness of opportunities available to students for inter-professional working (IPW) and inter-professional learning (IPL) on clinical placement. </w:t>
      </w:r>
      <w:r w:rsidR="00441461" w:rsidRPr="00C83D7B">
        <w:rPr>
          <w:rFonts w:cs="Arial"/>
          <w:sz w:val="24"/>
          <w:szCs w:val="24"/>
        </w:rPr>
        <w:t>There is evidence that more effective teamwork amongst health professional</w:t>
      </w:r>
      <w:r w:rsidR="005C683E" w:rsidRPr="00C83D7B">
        <w:rPr>
          <w:rFonts w:cs="Arial"/>
          <w:sz w:val="24"/>
          <w:szCs w:val="24"/>
        </w:rPr>
        <w:t>s improves patient outcomes (Francis, 2013</w:t>
      </w:r>
      <w:r w:rsidR="00441461" w:rsidRPr="00C83D7B">
        <w:rPr>
          <w:rFonts w:cs="Arial"/>
          <w:sz w:val="24"/>
          <w:szCs w:val="24"/>
        </w:rPr>
        <w:t>). Equipping students to understand and participate in teams is therefore a key priority for student training (HCPC Standards of Proficiency). The NHS recognises that IPL and IPW opportunities are important in meeting this objective.</w:t>
      </w:r>
    </w:p>
    <w:p w14:paraId="1A411D10" w14:textId="4FD196AE" w:rsidR="00441461" w:rsidRPr="00C83D7B" w:rsidRDefault="004A69D6" w:rsidP="00441461">
      <w:pPr>
        <w:spacing w:before="240" w:after="240" w:line="360" w:lineRule="auto"/>
        <w:rPr>
          <w:rFonts w:cs="Arial"/>
          <w:sz w:val="24"/>
          <w:szCs w:val="24"/>
        </w:rPr>
      </w:pPr>
      <w:r w:rsidRPr="00C83D7B">
        <w:rPr>
          <w:rFonts w:eastAsia="Times New Roman" w:cs="Arial"/>
          <w:sz w:val="24"/>
          <w:szCs w:val="24"/>
          <w:lang w:val="en" w:eastAsia="en-GB"/>
        </w:rPr>
        <w:t>The hints and suggested placement activ</w:t>
      </w:r>
      <w:r w:rsidR="00C83D7B">
        <w:rPr>
          <w:rFonts w:eastAsia="Times New Roman" w:cs="Arial"/>
          <w:sz w:val="24"/>
          <w:szCs w:val="24"/>
          <w:lang w:val="en" w:eastAsia="en-GB"/>
        </w:rPr>
        <w:t>ities were generated by practice placement</w:t>
      </w:r>
      <w:r w:rsidRPr="00C83D7B">
        <w:rPr>
          <w:rFonts w:eastAsia="Times New Roman" w:cs="Arial"/>
          <w:sz w:val="24"/>
          <w:szCs w:val="24"/>
          <w:lang w:val="en" w:eastAsia="en-GB"/>
        </w:rPr>
        <w:t xml:space="preserve"> educators during the advanced inter-professional learnin</w:t>
      </w:r>
      <w:r w:rsidR="00C83D7B">
        <w:rPr>
          <w:rFonts w:eastAsia="Times New Roman" w:cs="Arial"/>
          <w:sz w:val="24"/>
          <w:szCs w:val="24"/>
          <w:lang w:val="en" w:eastAsia="en-GB"/>
        </w:rPr>
        <w:t xml:space="preserve">g and working </w:t>
      </w:r>
      <w:r w:rsidRPr="00C83D7B">
        <w:rPr>
          <w:rFonts w:eastAsia="Times New Roman" w:cs="Arial"/>
          <w:sz w:val="24"/>
          <w:szCs w:val="24"/>
          <w:lang w:val="en" w:eastAsia="en-GB"/>
        </w:rPr>
        <w:t xml:space="preserve">workshop </w:t>
      </w:r>
      <w:r w:rsidR="00C70073" w:rsidRPr="00C83D7B">
        <w:rPr>
          <w:rFonts w:eastAsia="Times New Roman" w:cs="Arial"/>
          <w:sz w:val="24"/>
          <w:szCs w:val="24"/>
          <w:lang w:val="en" w:eastAsia="en-GB"/>
        </w:rPr>
        <w:t>in April 2014.</w:t>
      </w:r>
      <w:r w:rsidR="00441461" w:rsidRPr="00C83D7B">
        <w:rPr>
          <w:rFonts w:eastAsia="Times New Roman" w:cs="Arial"/>
          <w:sz w:val="24"/>
          <w:szCs w:val="24"/>
          <w:lang w:val="en" w:eastAsia="en-GB"/>
        </w:rPr>
        <w:t xml:space="preserve"> </w:t>
      </w:r>
      <w:r w:rsidR="00441461" w:rsidRPr="00C83D7B">
        <w:rPr>
          <w:rFonts w:cs="Arial"/>
          <w:sz w:val="24"/>
          <w:szCs w:val="24"/>
        </w:rPr>
        <w:t>Appendix (</w:t>
      </w:r>
      <w:proofErr w:type="spellStart"/>
      <w:r w:rsidR="00441461" w:rsidRPr="00C83D7B">
        <w:rPr>
          <w:rFonts w:cs="Arial"/>
          <w:sz w:val="24"/>
          <w:szCs w:val="24"/>
        </w:rPr>
        <w:t>i</w:t>
      </w:r>
      <w:proofErr w:type="spellEnd"/>
      <w:r w:rsidR="00441461" w:rsidRPr="00C83D7B">
        <w:rPr>
          <w:rFonts w:cs="Arial"/>
          <w:sz w:val="24"/>
          <w:szCs w:val="24"/>
        </w:rPr>
        <w:t>) contains a list of suggested IPW and IPL activities for use on placement.</w:t>
      </w:r>
    </w:p>
    <w:p w14:paraId="013ECAB1" w14:textId="2F5DB1FF" w:rsidR="004A69D6" w:rsidRDefault="00441461" w:rsidP="00441461">
      <w:pPr>
        <w:spacing w:before="240" w:after="240" w:line="360" w:lineRule="auto"/>
        <w:rPr>
          <w:rFonts w:cs="Arial"/>
          <w:sz w:val="24"/>
          <w:szCs w:val="24"/>
        </w:rPr>
      </w:pPr>
      <w:r w:rsidRPr="00C83D7B">
        <w:rPr>
          <w:rFonts w:eastAsia="Times New Roman" w:cs="Arial"/>
          <w:sz w:val="24"/>
          <w:szCs w:val="24"/>
          <w:lang w:val="en" w:eastAsia="en-GB"/>
        </w:rPr>
        <w:t>During the workshop</w:t>
      </w:r>
      <w:r w:rsidR="00F42FC6" w:rsidRPr="00C83D7B">
        <w:rPr>
          <w:rFonts w:eastAsia="Times New Roman" w:cs="Arial"/>
          <w:sz w:val="24"/>
          <w:szCs w:val="24"/>
          <w:lang w:val="en" w:eastAsia="en-GB"/>
        </w:rPr>
        <w:t>,</w:t>
      </w:r>
      <w:r w:rsidRPr="00C83D7B">
        <w:rPr>
          <w:rFonts w:eastAsia="Times New Roman" w:cs="Arial"/>
          <w:sz w:val="24"/>
          <w:szCs w:val="24"/>
          <w:lang w:val="en" w:eastAsia="en-GB"/>
        </w:rPr>
        <w:t xml:space="preserve"> it was clear that </w:t>
      </w:r>
      <w:r w:rsidRPr="00C83D7B">
        <w:rPr>
          <w:rFonts w:cs="Arial"/>
          <w:sz w:val="24"/>
          <w:szCs w:val="24"/>
        </w:rPr>
        <w:t xml:space="preserve">clinicians </w:t>
      </w:r>
      <w:r w:rsidR="00C83D7B">
        <w:rPr>
          <w:rFonts w:cs="Arial"/>
          <w:sz w:val="24"/>
          <w:szCs w:val="24"/>
        </w:rPr>
        <w:t xml:space="preserve">in some settings </w:t>
      </w:r>
      <w:r w:rsidRPr="00C83D7B">
        <w:rPr>
          <w:rFonts w:cs="Arial"/>
          <w:sz w:val="24"/>
          <w:szCs w:val="24"/>
        </w:rPr>
        <w:t xml:space="preserve">are an integral part of </w:t>
      </w:r>
      <w:r w:rsidR="00F42FC6" w:rsidRPr="00C83D7B">
        <w:rPr>
          <w:rFonts w:cs="Arial"/>
          <w:sz w:val="24"/>
          <w:szCs w:val="24"/>
        </w:rPr>
        <w:t xml:space="preserve">a </w:t>
      </w:r>
      <w:r w:rsidR="00C83D7B">
        <w:rPr>
          <w:rFonts w:cs="Arial"/>
          <w:sz w:val="24"/>
          <w:szCs w:val="24"/>
        </w:rPr>
        <w:t>team,</w:t>
      </w:r>
      <w:r w:rsidRPr="00C83D7B">
        <w:rPr>
          <w:rFonts w:cs="Arial"/>
          <w:sz w:val="24"/>
          <w:szCs w:val="24"/>
        </w:rPr>
        <w:t xml:space="preserve"> whilst others are part of a more disparate team. In each case, it was agreed that an understanding of who the team is and each professional’s role within a team is equally important and that opportunities for IPW and IPL should be considered across both. </w:t>
      </w:r>
    </w:p>
    <w:p w14:paraId="38824DBE" w14:textId="77777777" w:rsidR="00C83D7B" w:rsidRPr="00C83D7B" w:rsidRDefault="00C83D7B" w:rsidP="00441461">
      <w:pPr>
        <w:spacing w:before="240" w:after="240" w:line="360" w:lineRule="auto"/>
        <w:rPr>
          <w:rFonts w:cs="Arial"/>
          <w:sz w:val="24"/>
          <w:szCs w:val="24"/>
        </w:rPr>
      </w:pPr>
    </w:p>
    <w:p w14:paraId="5E206018" w14:textId="77777777" w:rsidR="00A5446E" w:rsidRPr="00C83D7B" w:rsidRDefault="00A5446E" w:rsidP="00726D94">
      <w:pPr>
        <w:spacing w:before="100" w:beforeAutospacing="1" w:after="0" w:line="360" w:lineRule="auto"/>
        <w:rPr>
          <w:rFonts w:cs="Arial"/>
          <w:b/>
          <w:sz w:val="24"/>
          <w:szCs w:val="24"/>
        </w:rPr>
      </w:pPr>
      <w:r w:rsidRPr="00C83D7B">
        <w:rPr>
          <w:rFonts w:cs="Arial"/>
          <w:b/>
          <w:sz w:val="24"/>
          <w:szCs w:val="24"/>
        </w:rPr>
        <w:lastRenderedPageBreak/>
        <w:t>Prior to placement</w:t>
      </w:r>
    </w:p>
    <w:p w14:paraId="7282D89C" w14:textId="286D2F40" w:rsidR="00C70073" w:rsidRPr="00C83D7B" w:rsidRDefault="00C57366" w:rsidP="00C83D7B">
      <w:pPr>
        <w:pStyle w:val="ListParagraph"/>
        <w:numPr>
          <w:ilvl w:val="0"/>
          <w:numId w:val="5"/>
        </w:numPr>
        <w:spacing w:before="240" w:after="240" w:line="360" w:lineRule="auto"/>
        <w:rPr>
          <w:rFonts w:cs="Arial"/>
          <w:sz w:val="24"/>
          <w:szCs w:val="24"/>
        </w:rPr>
      </w:pPr>
      <w:r w:rsidRPr="00C83D7B">
        <w:rPr>
          <w:rFonts w:cs="Arial"/>
          <w:sz w:val="24"/>
          <w:szCs w:val="24"/>
        </w:rPr>
        <w:t>Consider including s</w:t>
      </w:r>
      <w:r w:rsidR="00D76B2C" w:rsidRPr="00C83D7B">
        <w:rPr>
          <w:rFonts w:cs="Arial"/>
          <w:sz w:val="24"/>
          <w:szCs w:val="24"/>
        </w:rPr>
        <w:t>pecific reference to inter-professional working</w:t>
      </w:r>
      <w:r w:rsidRPr="00C83D7B">
        <w:rPr>
          <w:rFonts w:cs="Arial"/>
          <w:sz w:val="24"/>
          <w:szCs w:val="24"/>
        </w:rPr>
        <w:t xml:space="preserve"> and learning</w:t>
      </w:r>
      <w:r w:rsidR="00D76B2C" w:rsidRPr="00C83D7B">
        <w:rPr>
          <w:rFonts w:cs="Arial"/>
          <w:sz w:val="24"/>
          <w:szCs w:val="24"/>
        </w:rPr>
        <w:t xml:space="preserve"> in </w:t>
      </w:r>
      <w:r w:rsidRPr="00C83D7B">
        <w:rPr>
          <w:rFonts w:cs="Arial"/>
          <w:sz w:val="24"/>
          <w:szCs w:val="24"/>
        </w:rPr>
        <w:t xml:space="preserve">placement </w:t>
      </w:r>
      <w:r w:rsidR="00D76B2C" w:rsidRPr="00C83D7B">
        <w:rPr>
          <w:rFonts w:cs="Arial"/>
          <w:sz w:val="24"/>
          <w:szCs w:val="24"/>
        </w:rPr>
        <w:t>induction</w:t>
      </w:r>
      <w:r w:rsidRPr="00C83D7B">
        <w:rPr>
          <w:rFonts w:cs="Arial"/>
          <w:sz w:val="24"/>
          <w:szCs w:val="24"/>
        </w:rPr>
        <w:t xml:space="preserve"> pack (e.g. </w:t>
      </w:r>
      <w:r w:rsidR="00D76B2C" w:rsidRPr="00C83D7B">
        <w:rPr>
          <w:rFonts w:cs="Arial"/>
          <w:sz w:val="24"/>
          <w:szCs w:val="24"/>
        </w:rPr>
        <w:t>SLT in the wider context; members of the MDT</w:t>
      </w:r>
      <w:r w:rsidRPr="00C83D7B">
        <w:rPr>
          <w:rFonts w:cs="Arial"/>
          <w:sz w:val="24"/>
          <w:szCs w:val="24"/>
        </w:rPr>
        <w:t>; opportunities available)</w:t>
      </w:r>
    </w:p>
    <w:p w14:paraId="00D78DE1" w14:textId="69615714" w:rsidR="00C70073" w:rsidRPr="00C83D7B" w:rsidRDefault="00D76B2C" w:rsidP="00C83D7B">
      <w:pPr>
        <w:pStyle w:val="ListParagraph"/>
        <w:numPr>
          <w:ilvl w:val="0"/>
          <w:numId w:val="5"/>
        </w:numPr>
        <w:spacing w:before="240" w:after="240" w:line="360" w:lineRule="auto"/>
        <w:rPr>
          <w:rFonts w:cs="Arial"/>
          <w:sz w:val="24"/>
          <w:szCs w:val="24"/>
        </w:rPr>
      </w:pPr>
      <w:r w:rsidRPr="00C83D7B">
        <w:rPr>
          <w:rFonts w:cs="Arial"/>
          <w:sz w:val="24"/>
          <w:szCs w:val="24"/>
        </w:rPr>
        <w:t xml:space="preserve">Consider opportunities for </w:t>
      </w:r>
      <w:r w:rsidR="00C57366" w:rsidRPr="00C83D7B">
        <w:rPr>
          <w:rFonts w:cs="Arial"/>
          <w:sz w:val="24"/>
          <w:szCs w:val="24"/>
        </w:rPr>
        <w:t>IPL</w:t>
      </w:r>
      <w:r w:rsidR="00B95100" w:rsidRPr="00C83D7B">
        <w:rPr>
          <w:rFonts w:cs="Arial"/>
          <w:sz w:val="24"/>
          <w:szCs w:val="24"/>
        </w:rPr>
        <w:t xml:space="preserve"> in the workplace</w:t>
      </w:r>
      <w:r w:rsidR="00C57366" w:rsidRPr="00C83D7B">
        <w:rPr>
          <w:rFonts w:cs="Arial"/>
          <w:sz w:val="24"/>
          <w:szCs w:val="24"/>
        </w:rPr>
        <w:t xml:space="preserve"> (i.e. student working with</w:t>
      </w:r>
      <w:r w:rsidRPr="00C83D7B">
        <w:rPr>
          <w:rFonts w:cs="Arial"/>
          <w:sz w:val="24"/>
          <w:szCs w:val="24"/>
        </w:rPr>
        <w:t xml:space="preserve"> student(s) from other professional groups)</w:t>
      </w:r>
    </w:p>
    <w:p w14:paraId="3F76000A" w14:textId="34E766FD" w:rsidR="00C70073" w:rsidRPr="00C83D7B" w:rsidRDefault="00C57366" w:rsidP="00C83D7B">
      <w:pPr>
        <w:pStyle w:val="ListParagraph"/>
        <w:numPr>
          <w:ilvl w:val="0"/>
          <w:numId w:val="5"/>
        </w:numPr>
        <w:spacing w:before="240" w:after="240" w:line="360" w:lineRule="auto"/>
        <w:rPr>
          <w:rFonts w:cs="Arial"/>
          <w:sz w:val="24"/>
          <w:szCs w:val="24"/>
        </w:rPr>
      </w:pPr>
      <w:r w:rsidRPr="00C83D7B">
        <w:rPr>
          <w:rFonts w:cs="Arial"/>
          <w:sz w:val="24"/>
          <w:szCs w:val="24"/>
        </w:rPr>
        <w:t>Consider</w:t>
      </w:r>
      <w:r w:rsidR="00D76B2C" w:rsidRPr="00C83D7B">
        <w:rPr>
          <w:rFonts w:cs="Arial"/>
          <w:sz w:val="24"/>
          <w:szCs w:val="24"/>
        </w:rPr>
        <w:t>: Will there be students</w:t>
      </w:r>
      <w:r w:rsidR="00032B1C" w:rsidRPr="00C83D7B">
        <w:rPr>
          <w:rFonts w:cs="Arial"/>
          <w:sz w:val="24"/>
          <w:szCs w:val="24"/>
        </w:rPr>
        <w:t xml:space="preserve"> form other professional groups</w:t>
      </w:r>
      <w:r w:rsidR="004A69D6" w:rsidRPr="00C83D7B">
        <w:rPr>
          <w:rFonts w:cs="Arial"/>
          <w:sz w:val="24"/>
          <w:szCs w:val="24"/>
        </w:rPr>
        <w:t xml:space="preserve"> on placement at the same</w:t>
      </w:r>
      <w:r w:rsidR="00032B1C" w:rsidRPr="00C83D7B">
        <w:rPr>
          <w:rFonts w:cs="Arial"/>
          <w:sz w:val="24"/>
          <w:szCs w:val="24"/>
        </w:rPr>
        <w:t xml:space="preserve"> time?</w:t>
      </w:r>
    </w:p>
    <w:p w14:paraId="4C47301D" w14:textId="2D99C3A1" w:rsidR="004A69D6" w:rsidRPr="00C83D7B" w:rsidRDefault="00D76B2C" w:rsidP="004A69D6">
      <w:pPr>
        <w:pStyle w:val="ListParagraph"/>
        <w:numPr>
          <w:ilvl w:val="0"/>
          <w:numId w:val="5"/>
        </w:numPr>
        <w:spacing w:before="240" w:after="240" w:line="360" w:lineRule="auto"/>
        <w:rPr>
          <w:rFonts w:cs="Arial"/>
          <w:sz w:val="24"/>
          <w:szCs w:val="24"/>
        </w:rPr>
      </w:pPr>
      <w:r w:rsidRPr="00C83D7B">
        <w:rPr>
          <w:rFonts w:cs="Arial"/>
          <w:sz w:val="24"/>
          <w:szCs w:val="24"/>
        </w:rPr>
        <w:t xml:space="preserve">Who organises and oversees the other student placements within the team? </w:t>
      </w:r>
    </w:p>
    <w:p w14:paraId="2C3752C2" w14:textId="6AF41CAC" w:rsidR="00C57366" w:rsidRPr="00C83D7B" w:rsidRDefault="00D76B2C" w:rsidP="00C83D7B">
      <w:pPr>
        <w:pStyle w:val="ListParagraph"/>
        <w:numPr>
          <w:ilvl w:val="0"/>
          <w:numId w:val="5"/>
        </w:numPr>
        <w:spacing w:before="240" w:after="240" w:line="360" w:lineRule="auto"/>
        <w:rPr>
          <w:rFonts w:cs="Arial"/>
          <w:sz w:val="24"/>
          <w:szCs w:val="24"/>
        </w:rPr>
      </w:pPr>
      <w:r w:rsidRPr="00C83D7B">
        <w:rPr>
          <w:rFonts w:cs="Arial"/>
          <w:sz w:val="24"/>
          <w:szCs w:val="24"/>
        </w:rPr>
        <w:t xml:space="preserve">Is there scope for formalising </w:t>
      </w:r>
      <w:r w:rsidR="00C57366" w:rsidRPr="00C83D7B">
        <w:rPr>
          <w:rFonts w:cs="Arial"/>
          <w:sz w:val="24"/>
          <w:szCs w:val="24"/>
        </w:rPr>
        <w:t>organisation of p</w:t>
      </w:r>
      <w:r w:rsidRPr="00C83D7B">
        <w:rPr>
          <w:rFonts w:cs="Arial"/>
          <w:sz w:val="24"/>
          <w:szCs w:val="24"/>
        </w:rPr>
        <w:t>l</w:t>
      </w:r>
      <w:r w:rsidR="00C57366" w:rsidRPr="00C83D7B">
        <w:rPr>
          <w:rFonts w:cs="Arial"/>
          <w:sz w:val="24"/>
          <w:szCs w:val="24"/>
        </w:rPr>
        <w:t>a</w:t>
      </w:r>
      <w:r w:rsidRPr="00C83D7B">
        <w:rPr>
          <w:rFonts w:cs="Arial"/>
          <w:sz w:val="24"/>
          <w:szCs w:val="24"/>
        </w:rPr>
        <w:t xml:space="preserve">cements across professions </w:t>
      </w:r>
      <w:r w:rsidR="00C57366" w:rsidRPr="00C83D7B">
        <w:rPr>
          <w:rFonts w:cs="Arial"/>
          <w:sz w:val="24"/>
          <w:szCs w:val="24"/>
        </w:rPr>
        <w:t xml:space="preserve">      within your setting? A team approach? </w:t>
      </w:r>
    </w:p>
    <w:p w14:paraId="63681408" w14:textId="2603DBE9" w:rsidR="004A69D6" w:rsidRPr="00C83D7B" w:rsidRDefault="00C57366" w:rsidP="00FE0D24">
      <w:pPr>
        <w:pStyle w:val="ListParagraph"/>
        <w:numPr>
          <w:ilvl w:val="0"/>
          <w:numId w:val="5"/>
        </w:numPr>
        <w:spacing w:before="240" w:after="240" w:line="360" w:lineRule="auto"/>
        <w:rPr>
          <w:rFonts w:cs="Arial"/>
          <w:sz w:val="24"/>
          <w:szCs w:val="24"/>
        </w:rPr>
      </w:pPr>
      <w:r w:rsidRPr="00C83D7B">
        <w:rPr>
          <w:rFonts w:cs="Arial"/>
          <w:sz w:val="24"/>
          <w:szCs w:val="24"/>
        </w:rPr>
        <w:t xml:space="preserve">Consider setting time </w:t>
      </w:r>
      <w:r w:rsidR="008B0D81" w:rsidRPr="00C83D7B">
        <w:rPr>
          <w:rFonts w:cs="Arial"/>
          <w:sz w:val="24"/>
          <w:szCs w:val="24"/>
        </w:rPr>
        <w:t xml:space="preserve">aside for </w:t>
      </w:r>
      <w:r w:rsidRPr="00C83D7B">
        <w:rPr>
          <w:rFonts w:cs="Arial"/>
          <w:sz w:val="24"/>
          <w:szCs w:val="24"/>
        </w:rPr>
        <w:t>student to engage in IPW/IPL activities</w:t>
      </w:r>
      <w:r w:rsidR="008B0D81" w:rsidRPr="00C83D7B">
        <w:rPr>
          <w:rFonts w:cs="Arial"/>
          <w:sz w:val="24"/>
          <w:szCs w:val="24"/>
        </w:rPr>
        <w:t xml:space="preserve"> within </w:t>
      </w:r>
      <w:r w:rsidRPr="00C83D7B">
        <w:rPr>
          <w:rFonts w:cs="Arial"/>
          <w:sz w:val="24"/>
          <w:szCs w:val="24"/>
        </w:rPr>
        <w:t xml:space="preserve">student’s </w:t>
      </w:r>
      <w:r w:rsidR="008B0D81" w:rsidRPr="00C83D7B">
        <w:rPr>
          <w:rFonts w:cs="Arial"/>
          <w:sz w:val="24"/>
          <w:szCs w:val="24"/>
        </w:rPr>
        <w:t>timetable</w:t>
      </w:r>
      <w:r w:rsidRPr="00C83D7B">
        <w:rPr>
          <w:rFonts w:cs="Arial"/>
          <w:sz w:val="24"/>
          <w:szCs w:val="24"/>
        </w:rPr>
        <w:t xml:space="preserve"> </w:t>
      </w:r>
    </w:p>
    <w:p w14:paraId="6ACEA737" w14:textId="77777777" w:rsidR="00847FFA" w:rsidRPr="00C83D7B" w:rsidRDefault="00847FFA" w:rsidP="00FE0D24">
      <w:pPr>
        <w:spacing w:before="240" w:after="240" w:line="360" w:lineRule="auto"/>
        <w:rPr>
          <w:rFonts w:cs="Arial"/>
          <w:b/>
          <w:sz w:val="24"/>
          <w:szCs w:val="24"/>
        </w:rPr>
      </w:pPr>
      <w:r w:rsidRPr="00C83D7B">
        <w:rPr>
          <w:rFonts w:cs="Arial"/>
          <w:b/>
          <w:sz w:val="24"/>
          <w:szCs w:val="24"/>
        </w:rPr>
        <w:t>During Placement</w:t>
      </w:r>
    </w:p>
    <w:p w14:paraId="635ADC34" w14:textId="07733E09" w:rsidR="00C70073" w:rsidRPr="00C83D7B" w:rsidRDefault="00726D94" w:rsidP="00C83D7B">
      <w:pPr>
        <w:pStyle w:val="ListParagraph"/>
        <w:numPr>
          <w:ilvl w:val="0"/>
          <w:numId w:val="5"/>
        </w:numPr>
        <w:spacing w:before="240" w:after="240" w:line="360" w:lineRule="auto"/>
        <w:rPr>
          <w:rFonts w:cs="Arial"/>
          <w:sz w:val="24"/>
          <w:szCs w:val="24"/>
        </w:rPr>
      </w:pPr>
      <w:r w:rsidRPr="00C83D7B">
        <w:rPr>
          <w:rFonts w:cs="Arial"/>
          <w:sz w:val="24"/>
          <w:szCs w:val="24"/>
        </w:rPr>
        <w:t>Encourage the student to seek and identify</w:t>
      </w:r>
      <w:r w:rsidR="007A5855" w:rsidRPr="00C83D7B">
        <w:rPr>
          <w:rFonts w:cs="Arial"/>
          <w:sz w:val="24"/>
          <w:szCs w:val="24"/>
        </w:rPr>
        <w:t xml:space="preserve"> opportunities for IPW/IPL</w:t>
      </w:r>
    </w:p>
    <w:p w14:paraId="091D1E1D" w14:textId="0D5B3D17" w:rsidR="00C70073" w:rsidRPr="00C83D7B" w:rsidRDefault="007A5855" w:rsidP="00C83D7B">
      <w:pPr>
        <w:pStyle w:val="ListParagraph"/>
        <w:numPr>
          <w:ilvl w:val="0"/>
          <w:numId w:val="5"/>
        </w:numPr>
        <w:spacing w:before="240" w:after="240" w:line="360" w:lineRule="auto"/>
        <w:rPr>
          <w:rFonts w:cs="Arial"/>
          <w:sz w:val="24"/>
          <w:szCs w:val="24"/>
        </w:rPr>
      </w:pPr>
      <w:r w:rsidRPr="00C83D7B">
        <w:rPr>
          <w:rFonts w:cs="Arial"/>
          <w:sz w:val="24"/>
          <w:szCs w:val="24"/>
        </w:rPr>
        <w:t xml:space="preserve">Set aims for students/ask students to identify aims within each opportunity </w:t>
      </w:r>
    </w:p>
    <w:p w14:paraId="0B9CCEB5" w14:textId="01F3E94E" w:rsidR="00C70073" w:rsidRPr="00C83D7B" w:rsidRDefault="00847FFA" w:rsidP="00C83D7B">
      <w:pPr>
        <w:pStyle w:val="ListParagraph"/>
        <w:numPr>
          <w:ilvl w:val="0"/>
          <w:numId w:val="5"/>
        </w:numPr>
        <w:spacing w:before="240" w:after="240" w:line="360" w:lineRule="auto"/>
        <w:rPr>
          <w:rFonts w:cs="Arial"/>
          <w:sz w:val="24"/>
          <w:szCs w:val="24"/>
        </w:rPr>
      </w:pPr>
      <w:r w:rsidRPr="00C83D7B">
        <w:rPr>
          <w:rFonts w:cs="Arial"/>
          <w:sz w:val="24"/>
          <w:szCs w:val="24"/>
        </w:rPr>
        <w:t xml:space="preserve">Encourage students to record IPW/IPL experiences within </w:t>
      </w:r>
      <w:proofErr w:type="spellStart"/>
      <w:r w:rsidRPr="00C83D7B">
        <w:rPr>
          <w:rFonts w:cs="Arial"/>
          <w:sz w:val="24"/>
          <w:szCs w:val="24"/>
        </w:rPr>
        <w:t>ePortfolio</w:t>
      </w:r>
      <w:proofErr w:type="spellEnd"/>
      <w:r w:rsidRPr="00C83D7B">
        <w:rPr>
          <w:rFonts w:cs="Arial"/>
          <w:sz w:val="24"/>
          <w:szCs w:val="24"/>
        </w:rPr>
        <w:t xml:space="preserve"> (IPL Blog)</w:t>
      </w:r>
    </w:p>
    <w:p w14:paraId="13E70257" w14:textId="701026FC" w:rsidR="00C70073" w:rsidRPr="00C83D7B" w:rsidRDefault="00847FFA" w:rsidP="00C83D7B">
      <w:pPr>
        <w:pStyle w:val="ListParagraph"/>
        <w:numPr>
          <w:ilvl w:val="0"/>
          <w:numId w:val="5"/>
        </w:numPr>
        <w:spacing w:before="240" w:after="240" w:line="360" w:lineRule="auto"/>
        <w:rPr>
          <w:rFonts w:cs="Arial"/>
          <w:sz w:val="24"/>
          <w:szCs w:val="24"/>
        </w:rPr>
      </w:pPr>
      <w:r w:rsidRPr="00C83D7B">
        <w:rPr>
          <w:rFonts w:cs="Arial"/>
          <w:sz w:val="24"/>
          <w:szCs w:val="24"/>
        </w:rPr>
        <w:t>Emphasise the importance of IPW and IPL through specific reflection (verbal and written using IPL Blog), discussion within My Cases, verbal case discussion with CE</w:t>
      </w:r>
    </w:p>
    <w:p w14:paraId="2CC7C851" w14:textId="43307926" w:rsidR="00FE0D24" w:rsidRPr="00C83D7B" w:rsidRDefault="007A5855" w:rsidP="00C70073">
      <w:pPr>
        <w:pStyle w:val="ListParagraph"/>
        <w:numPr>
          <w:ilvl w:val="0"/>
          <w:numId w:val="5"/>
        </w:numPr>
        <w:spacing w:before="240" w:after="240" w:line="360" w:lineRule="auto"/>
        <w:rPr>
          <w:rFonts w:cs="Arial"/>
          <w:sz w:val="24"/>
          <w:szCs w:val="24"/>
        </w:rPr>
      </w:pPr>
      <w:r w:rsidRPr="00C83D7B">
        <w:rPr>
          <w:rFonts w:cs="Arial"/>
          <w:sz w:val="24"/>
          <w:szCs w:val="24"/>
        </w:rPr>
        <w:t>Encourage the student to relate learning to the wider course (</w:t>
      </w:r>
      <w:proofErr w:type="spellStart"/>
      <w:r w:rsidRPr="00C83D7B">
        <w:rPr>
          <w:rFonts w:cs="Arial"/>
          <w:sz w:val="24"/>
          <w:szCs w:val="24"/>
        </w:rPr>
        <w:t>eg</w:t>
      </w:r>
      <w:proofErr w:type="spellEnd"/>
      <w:r w:rsidRPr="00C83D7B">
        <w:rPr>
          <w:rFonts w:cs="Arial"/>
          <w:sz w:val="24"/>
          <w:szCs w:val="24"/>
        </w:rPr>
        <w:t>. previous modules, experien</w:t>
      </w:r>
      <w:r w:rsidR="00501777" w:rsidRPr="00C83D7B">
        <w:rPr>
          <w:rFonts w:cs="Arial"/>
          <w:sz w:val="24"/>
          <w:szCs w:val="24"/>
        </w:rPr>
        <w:t>ce of group work, peer learning</w:t>
      </w:r>
      <w:r w:rsidR="00C70073" w:rsidRPr="00C83D7B">
        <w:rPr>
          <w:rFonts w:cs="Arial"/>
          <w:sz w:val="24"/>
          <w:szCs w:val="24"/>
        </w:rPr>
        <w:t>)</w:t>
      </w:r>
    </w:p>
    <w:p w14:paraId="5E0E37A4" w14:textId="77777777" w:rsidR="00DC4B06" w:rsidRPr="00C83D7B" w:rsidRDefault="00DC4B06" w:rsidP="00DC4B06">
      <w:pPr>
        <w:spacing w:before="240" w:after="240" w:line="360" w:lineRule="auto"/>
        <w:rPr>
          <w:rFonts w:cs="Arial"/>
          <w:b/>
          <w:sz w:val="24"/>
          <w:szCs w:val="24"/>
        </w:rPr>
      </w:pPr>
      <w:r w:rsidRPr="00C83D7B">
        <w:rPr>
          <w:rFonts w:cs="Arial"/>
          <w:b/>
          <w:sz w:val="24"/>
          <w:szCs w:val="24"/>
        </w:rPr>
        <w:t>Reference</w:t>
      </w:r>
    </w:p>
    <w:p w14:paraId="4779189F" w14:textId="49D1E1B4" w:rsidR="00C70073" w:rsidRPr="00C83D7B" w:rsidRDefault="00DC4B06" w:rsidP="00FE0D24">
      <w:pPr>
        <w:spacing w:before="240" w:after="240" w:line="360" w:lineRule="auto"/>
        <w:rPr>
          <w:i/>
          <w:iCs/>
          <w:color w:val="333333"/>
          <w:sz w:val="24"/>
          <w:szCs w:val="24"/>
          <w:lang w:val="en"/>
        </w:rPr>
      </w:pPr>
      <w:r w:rsidRPr="00C83D7B">
        <w:rPr>
          <w:rStyle w:val="HTMLCite"/>
          <w:color w:val="333333"/>
          <w:sz w:val="24"/>
          <w:szCs w:val="24"/>
          <w:lang w:val="en"/>
        </w:rPr>
        <w:t>Francis, R. (2013). Report of the Mid Staffordshire NHS Foundation Trust Public Inquiry: executive summary. London: Stationery Office, February 6</w:t>
      </w:r>
      <w:r w:rsidRPr="00C83D7B">
        <w:rPr>
          <w:rStyle w:val="HTMLCite"/>
          <w:color w:val="333333"/>
          <w:sz w:val="24"/>
          <w:szCs w:val="24"/>
          <w:vertAlign w:val="superscript"/>
          <w:lang w:val="en"/>
        </w:rPr>
        <w:t>th</w:t>
      </w:r>
      <w:r w:rsidRPr="00C83D7B">
        <w:rPr>
          <w:rStyle w:val="HTMLCite"/>
          <w:color w:val="333333"/>
          <w:sz w:val="24"/>
          <w:szCs w:val="24"/>
          <w:lang w:val="en"/>
        </w:rPr>
        <w:t xml:space="preserve"> 2013.</w:t>
      </w:r>
    </w:p>
    <w:p w14:paraId="29A37AA9" w14:textId="77777777" w:rsidR="00C83D7B" w:rsidRPr="00C83D7B" w:rsidRDefault="00C83D7B">
      <w:pPr>
        <w:rPr>
          <w:rFonts w:cs="Arial"/>
          <w:sz w:val="24"/>
          <w:szCs w:val="24"/>
        </w:rPr>
      </w:pPr>
      <w:r w:rsidRPr="00C83D7B">
        <w:rPr>
          <w:rFonts w:cs="Arial"/>
          <w:sz w:val="24"/>
          <w:szCs w:val="24"/>
        </w:rPr>
        <w:br w:type="page"/>
      </w:r>
    </w:p>
    <w:p w14:paraId="075C97C8" w14:textId="13CC8F55" w:rsidR="00501777" w:rsidRPr="00C83D7B" w:rsidRDefault="00501777" w:rsidP="00FE0D24">
      <w:pPr>
        <w:spacing w:before="240" w:after="240" w:line="360" w:lineRule="auto"/>
        <w:rPr>
          <w:rFonts w:cs="Arial"/>
          <w:sz w:val="24"/>
          <w:szCs w:val="24"/>
        </w:rPr>
      </w:pPr>
      <w:r w:rsidRPr="00C83D7B">
        <w:rPr>
          <w:rFonts w:cs="Arial"/>
          <w:sz w:val="24"/>
          <w:szCs w:val="24"/>
        </w:rPr>
        <w:lastRenderedPageBreak/>
        <w:t>Appendix (</w:t>
      </w:r>
      <w:proofErr w:type="spellStart"/>
      <w:r w:rsidRPr="00C83D7B">
        <w:rPr>
          <w:rFonts w:cs="Arial"/>
          <w:sz w:val="24"/>
          <w:szCs w:val="24"/>
        </w:rPr>
        <w:t>i</w:t>
      </w:r>
      <w:proofErr w:type="spellEnd"/>
      <w:r w:rsidRPr="00C83D7B">
        <w:rPr>
          <w:rFonts w:cs="Arial"/>
          <w:sz w:val="24"/>
          <w:szCs w:val="24"/>
        </w:rPr>
        <w:t>)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B5EC1" w:rsidRPr="00C83D7B" w14:paraId="1BCF0EF3" w14:textId="77777777" w:rsidTr="00AF76DD">
        <w:tc>
          <w:tcPr>
            <w:tcW w:w="9209" w:type="dxa"/>
          </w:tcPr>
          <w:p w14:paraId="06378AA8" w14:textId="77777777" w:rsidR="007B5EC1" w:rsidRPr="00C83D7B" w:rsidRDefault="007B5EC1" w:rsidP="00FE0D24">
            <w:pPr>
              <w:spacing w:before="240" w:after="240" w:line="360" w:lineRule="auto"/>
              <w:rPr>
                <w:rFonts w:cs="Arial"/>
                <w:b/>
                <w:sz w:val="24"/>
                <w:szCs w:val="24"/>
                <w:u w:val="single"/>
              </w:rPr>
            </w:pPr>
            <w:r w:rsidRPr="00C83D7B">
              <w:rPr>
                <w:rFonts w:cs="Arial"/>
                <w:b/>
                <w:sz w:val="24"/>
                <w:szCs w:val="24"/>
                <w:u w:val="single"/>
              </w:rPr>
              <w:t>Suggested IPW Activities</w:t>
            </w:r>
          </w:p>
        </w:tc>
      </w:tr>
      <w:tr w:rsidR="00AF76DD" w:rsidRPr="00C83D7B" w14:paraId="6ADE28CB" w14:textId="77777777" w:rsidTr="00AF76DD">
        <w:tc>
          <w:tcPr>
            <w:tcW w:w="9209" w:type="dxa"/>
          </w:tcPr>
          <w:p w14:paraId="717D316D" w14:textId="77777777" w:rsidR="00AF76DD" w:rsidRPr="00C83D7B" w:rsidRDefault="00AF76DD" w:rsidP="00FE0D24">
            <w:pPr>
              <w:spacing w:before="240" w:after="240" w:line="360" w:lineRule="auto"/>
              <w:rPr>
                <w:rFonts w:cs="Arial"/>
                <w:sz w:val="24"/>
                <w:szCs w:val="24"/>
              </w:rPr>
            </w:pPr>
            <w:r w:rsidRPr="00C83D7B">
              <w:rPr>
                <w:rFonts w:cs="Arial"/>
                <w:sz w:val="24"/>
                <w:szCs w:val="24"/>
              </w:rPr>
              <w:t>Involve students in MDT groups (e.g. journal club)</w:t>
            </w:r>
          </w:p>
        </w:tc>
      </w:tr>
      <w:tr w:rsidR="00AF76DD" w:rsidRPr="00C83D7B" w14:paraId="2BE63008" w14:textId="77777777" w:rsidTr="00AF76DD">
        <w:tc>
          <w:tcPr>
            <w:tcW w:w="9209" w:type="dxa"/>
          </w:tcPr>
          <w:p w14:paraId="67CFD9DF" w14:textId="77777777" w:rsidR="00AF76DD" w:rsidRPr="00C83D7B" w:rsidRDefault="00AF76DD" w:rsidP="00FE0D24">
            <w:pPr>
              <w:spacing w:before="240" w:after="240" w:line="360" w:lineRule="auto"/>
              <w:rPr>
                <w:rFonts w:cs="Arial"/>
                <w:sz w:val="24"/>
                <w:szCs w:val="24"/>
              </w:rPr>
            </w:pPr>
            <w:r w:rsidRPr="00C83D7B">
              <w:rPr>
                <w:rFonts w:cs="Arial"/>
                <w:sz w:val="24"/>
                <w:szCs w:val="24"/>
              </w:rPr>
              <w:t>Arrange informal contact with other students (e.g. at lunchtime)</w:t>
            </w:r>
          </w:p>
        </w:tc>
      </w:tr>
      <w:tr w:rsidR="00AF76DD" w:rsidRPr="00C83D7B" w14:paraId="3BA53AAD" w14:textId="77777777" w:rsidTr="00AF76DD">
        <w:tc>
          <w:tcPr>
            <w:tcW w:w="9209" w:type="dxa"/>
          </w:tcPr>
          <w:p w14:paraId="38CD6B96" w14:textId="77777777" w:rsidR="00AF76DD" w:rsidRPr="00C83D7B" w:rsidRDefault="00AF76DD" w:rsidP="00FE0D24">
            <w:pPr>
              <w:spacing w:before="240" w:after="240" w:line="360" w:lineRule="auto"/>
              <w:rPr>
                <w:rFonts w:cs="Arial"/>
                <w:sz w:val="24"/>
                <w:szCs w:val="24"/>
              </w:rPr>
            </w:pPr>
            <w:r w:rsidRPr="00C83D7B">
              <w:rPr>
                <w:rFonts w:cs="Arial"/>
                <w:sz w:val="24"/>
                <w:szCs w:val="24"/>
              </w:rPr>
              <w:t>Encourage the student to research the role of professionals working within a specific context</w:t>
            </w:r>
          </w:p>
        </w:tc>
      </w:tr>
      <w:tr w:rsidR="00AF76DD" w:rsidRPr="00C83D7B" w14:paraId="16EA8388" w14:textId="77777777" w:rsidTr="00AF76DD">
        <w:tc>
          <w:tcPr>
            <w:tcW w:w="9209" w:type="dxa"/>
          </w:tcPr>
          <w:p w14:paraId="4CC8C8E0" w14:textId="77777777" w:rsidR="00AF76DD" w:rsidRPr="00C83D7B" w:rsidRDefault="00AF76DD" w:rsidP="00FE0D24">
            <w:pPr>
              <w:spacing w:before="240" w:after="240" w:line="360" w:lineRule="auto"/>
              <w:rPr>
                <w:rFonts w:cs="Arial"/>
                <w:sz w:val="24"/>
                <w:szCs w:val="24"/>
              </w:rPr>
            </w:pPr>
            <w:r w:rsidRPr="00C83D7B">
              <w:rPr>
                <w:rFonts w:cs="Arial"/>
                <w:sz w:val="24"/>
                <w:szCs w:val="24"/>
              </w:rPr>
              <w:t>Arrange for the student to shadow professionals within the team to provide:</w:t>
            </w:r>
          </w:p>
          <w:p w14:paraId="4DCF24E6" w14:textId="77777777" w:rsidR="00AF76DD" w:rsidRPr="00C83D7B" w:rsidRDefault="008B0D81" w:rsidP="009A623C">
            <w:pPr>
              <w:pStyle w:val="ListParagraph"/>
              <w:numPr>
                <w:ilvl w:val="0"/>
                <w:numId w:val="3"/>
              </w:numPr>
              <w:spacing w:before="240" w:after="240" w:line="360" w:lineRule="auto"/>
              <w:rPr>
                <w:rFonts w:cs="Arial"/>
                <w:sz w:val="24"/>
                <w:szCs w:val="24"/>
              </w:rPr>
            </w:pPr>
            <w:r w:rsidRPr="00C83D7B">
              <w:rPr>
                <w:rFonts w:cs="Arial"/>
                <w:sz w:val="24"/>
                <w:szCs w:val="24"/>
              </w:rPr>
              <w:t>a</w:t>
            </w:r>
            <w:r w:rsidR="00AF76DD" w:rsidRPr="00C83D7B">
              <w:rPr>
                <w:rFonts w:cs="Arial"/>
                <w:sz w:val="24"/>
                <w:szCs w:val="24"/>
              </w:rPr>
              <w:t xml:space="preserve">n awareness of the professional’s role </w:t>
            </w:r>
            <w:r w:rsidR="004243A4" w:rsidRPr="00C83D7B">
              <w:rPr>
                <w:rFonts w:cs="Arial"/>
                <w:sz w:val="24"/>
                <w:szCs w:val="24"/>
              </w:rPr>
              <w:t>– their role overall and their role within a specific case</w:t>
            </w:r>
          </w:p>
          <w:p w14:paraId="1EC75822" w14:textId="77777777" w:rsidR="00AF76DD" w:rsidRPr="00C83D7B" w:rsidRDefault="008B0D81" w:rsidP="009A623C">
            <w:pPr>
              <w:pStyle w:val="ListParagraph"/>
              <w:numPr>
                <w:ilvl w:val="0"/>
                <w:numId w:val="3"/>
              </w:numPr>
              <w:spacing w:before="240" w:after="240" w:line="360" w:lineRule="auto"/>
              <w:rPr>
                <w:rFonts w:cs="Arial"/>
                <w:sz w:val="24"/>
                <w:szCs w:val="24"/>
              </w:rPr>
            </w:pPr>
            <w:r w:rsidRPr="00C83D7B">
              <w:rPr>
                <w:rFonts w:cs="Arial"/>
                <w:sz w:val="24"/>
                <w:szCs w:val="24"/>
              </w:rPr>
              <w:t>an i</w:t>
            </w:r>
            <w:r w:rsidR="00AF76DD" w:rsidRPr="00C83D7B">
              <w:rPr>
                <w:rFonts w:cs="Arial"/>
                <w:sz w:val="24"/>
                <w:szCs w:val="24"/>
              </w:rPr>
              <w:t>nsight into the wider team</w:t>
            </w:r>
          </w:p>
          <w:p w14:paraId="608CDC41" w14:textId="77777777" w:rsidR="00AF76DD" w:rsidRPr="00C83D7B" w:rsidRDefault="008B0D81" w:rsidP="009A623C">
            <w:pPr>
              <w:pStyle w:val="ListParagraph"/>
              <w:numPr>
                <w:ilvl w:val="0"/>
                <w:numId w:val="3"/>
              </w:numPr>
              <w:spacing w:before="240" w:after="240" w:line="360" w:lineRule="auto"/>
              <w:rPr>
                <w:rFonts w:cs="Arial"/>
                <w:sz w:val="24"/>
                <w:szCs w:val="24"/>
              </w:rPr>
            </w:pPr>
            <w:r w:rsidRPr="00C83D7B">
              <w:rPr>
                <w:rFonts w:cs="Arial"/>
                <w:sz w:val="24"/>
                <w:szCs w:val="24"/>
              </w:rPr>
              <w:t>a</w:t>
            </w:r>
            <w:r w:rsidR="00AF76DD" w:rsidRPr="00C83D7B">
              <w:rPr>
                <w:rFonts w:cs="Arial"/>
                <w:sz w:val="24"/>
                <w:szCs w:val="24"/>
              </w:rPr>
              <w:t xml:space="preserve"> holistic view of the client</w:t>
            </w:r>
          </w:p>
        </w:tc>
      </w:tr>
      <w:tr w:rsidR="00AF76DD" w:rsidRPr="00C83D7B" w14:paraId="3CD4D0D8" w14:textId="77777777" w:rsidTr="00AF76DD">
        <w:tc>
          <w:tcPr>
            <w:tcW w:w="9209" w:type="dxa"/>
          </w:tcPr>
          <w:p w14:paraId="3DC4AAAF" w14:textId="77777777" w:rsidR="00AF76DD" w:rsidRPr="00C83D7B" w:rsidRDefault="00AF76DD" w:rsidP="00FE0D24">
            <w:pPr>
              <w:spacing w:before="240" w:after="240" w:line="360" w:lineRule="auto"/>
              <w:rPr>
                <w:rFonts w:cs="Arial"/>
                <w:sz w:val="24"/>
                <w:szCs w:val="24"/>
              </w:rPr>
            </w:pPr>
            <w:r w:rsidRPr="00C83D7B">
              <w:rPr>
                <w:rFonts w:cs="Arial"/>
                <w:sz w:val="24"/>
                <w:szCs w:val="24"/>
              </w:rPr>
              <w:t>Support students to contribute to MDT meetings/discussions</w:t>
            </w:r>
            <w:r w:rsidR="00D06190" w:rsidRPr="00C83D7B">
              <w:rPr>
                <w:rFonts w:cs="Arial"/>
                <w:sz w:val="24"/>
                <w:szCs w:val="24"/>
              </w:rPr>
              <w:t>;</w:t>
            </w:r>
            <w:r w:rsidR="00087686" w:rsidRPr="00C83D7B">
              <w:rPr>
                <w:rFonts w:cs="Arial"/>
                <w:sz w:val="24"/>
                <w:szCs w:val="24"/>
              </w:rPr>
              <w:t xml:space="preserve"> clinical</w:t>
            </w:r>
            <w:r w:rsidR="00D06190" w:rsidRPr="00C83D7B">
              <w:rPr>
                <w:rFonts w:cs="Arial"/>
                <w:sz w:val="24"/>
                <w:szCs w:val="24"/>
              </w:rPr>
              <w:t xml:space="preserve"> meetings</w:t>
            </w:r>
            <w:r w:rsidR="00087686" w:rsidRPr="00C83D7B">
              <w:rPr>
                <w:rFonts w:cs="Arial"/>
                <w:sz w:val="24"/>
                <w:szCs w:val="24"/>
              </w:rPr>
              <w:t xml:space="preserve"> and service meetings</w:t>
            </w:r>
          </w:p>
        </w:tc>
      </w:tr>
      <w:tr w:rsidR="00847FFA" w:rsidRPr="00C83D7B" w14:paraId="3FCE23C5" w14:textId="77777777" w:rsidTr="00AF76DD">
        <w:tc>
          <w:tcPr>
            <w:tcW w:w="9209" w:type="dxa"/>
          </w:tcPr>
          <w:p w14:paraId="4B5CBD11" w14:textId="77777777" w:rsidR="00847FFA" w:rsidRPr="00C83D7B" w:rsidRDefault="00847FFA" w:rsidP="00FE0D24">
            <w:pPr>
              <w:spacing w:before="240" w:after="240" w:line="360" w:lineRule="auto"/>
              <w:rPr>
                <w:rFonts w:cs="Arial"/>
                <w:sz w:val="24"/>
                <w:szCs w:val="24"/>
              </w:rPr>
            </w:pPr>
            <w:r w:rsidRPr="00C83D7B">
              <w:rPr>
                <w:rFonts w:cs="Arial"/>
                <w:sz w:val="24"/>
                <w:szCs w:val="24"/>
              </w:rPr>
              <w:t>Provide opportunities for students to provide feedback to other [professionals and/or request feedback from other professionals (consider role play if limited opportunity)</w:t>
            </w:r>
          </w:p>
        </w:tc>
      </w:tr>
      <w:tr w:rsidR="00AF76DD" w:rsidRPr="00C83D7B" w14:paraId="29E0DEBB" w14:textId="77777777" w:rsidTr="00AF76DD">
        <w:tc>
          <w:tcPr>
            <w:tcW w:w="9209" w:type="dxa"/>
          </w:tcPr>
          <w:p w14:paraId="623F1A4D" w14:textId="77777777" w:rsidR="00AF76DD" w:rsidRPr="00C83D7B" w:rsidRDefault="00AF76DD" w:rsidP="00FE0D24">
            <w:pPr>
              <w:spacing w:before="240" w:after="240" w:line="360" w:lineRule="auto"/>
              <w:rPr>
                <w:rFonts w:cs="Arial"/>
                <w:sz w:val="24"/>
                <w:szCs w:val="24"/>
              </w:rPr>
            </w:pPr>
            <w:r w:rsidRPr="00C83D7B">
              <w:rPr>
                <w:rFonts w:cs="Arial"/>
                <w:sz w:val="24"/>
                <w:szCs w:val="24"/>
              </w:rPr>
              <w:t>Plan for students to contribute to staff training (e.g. present a case)</w:t>
            </w:r>
          </w:p>
        </w:tc>
      </w:tr>
      <w:tr w:rsidR="00A5446E" w:rsidRPr="00C83D7B" w14:paraId="0E22362E" w14:textId="77777777" w:rsidTr="00AF76DD">
        <w:tc>
          <w:tcPr>
            <w:tcW w:w="9209" w:type="dxa"/>
          </w:tcPr>
          <w:p w14:paraId="32CD6ED8" w14:textId="0B485062" w:rsidR="00DC4B06" w:rsidRPr="00C83D7B" w:rsidRDefault="00A5446E" w:rsidP="00FE0D24">
            <w:pPr>
              <w:spacing w:before="240" w:after="240" w:line="360" w:lineRule="auto"/>
              <w:rPr>
                <w:rFonts w:cs="Arial"/>
                <w:sz w:val="24"/>
                <w:szCs w:val="24"/>
              </w:rPr>
            </w:pPr>
            <w:r w:rsidRPr="00C83D7B">
              <w:rPr>
                <w:rFonts w:cs="Arial"/>
                <w:sz w:val="24"/>
                <w:szCs w:val="24"/>
              </w:rPr>
              <w:t>Support students to reflect on inter professional experiences using the reflective model of supervision framework</w:t>
            </w:r>
          </w:p>
        </w:tc>
      </w:tr>
      <w:tr w:rsidR="007B5EC1" w:rsidRPr="00C83D7B" w14:paraId="7DADAA6B" w14:textId="77777777" w:rsidTr="00AF76DD">
        <w:tc>
          <w:tcPr>
            <w:tcW w:w="9209" w:type="dxa"/>
          </w:tcPr>
          <w:p w14:paraId="321D75EC" w14:textId="77777777" w:rsidR="004B1560" w:rsidRPr="00C83D7B" w:rsidRDefault="004B1560" w:rsidP="00FE0D24">
            <w:pPr>
              <w:spacing w:before="240" w:after="240" w:line="360" w:lineRule="auto"/>
              <w:rPr>
                <w:rFonts w:cs="Arial"/>
                <w:b/>
                <w:sz w:val="24"/>
                <w:szCs w:val="24"/>
                <w:u w:val="single"/>
              </w:rPr>
            </w:pPr>
          </w:p>
          <w:p w14:paraId="518530CB" w14:textId="77777777" w:rsidR="007B5EC1" w:rsidRPr="00C83D7B" w:rsidRDefault="007B5EC1" w:rsidP="00FE0D24">
            <w:pPr>
              <w:spacing w:before="240" w:after="240" w:line="360" w:lineRule="auto"/>
              <w:rPr>
                <w:rFonts w:cs="Arial"/>
                <w:sz w:val="24"/>
                <w:szCs w:val="24"/>
              </w:rPr>
            </w:pPr>
            <w:r w:rsidRPr="00C83D7B">
              <w:rPr>
                <w:rFonts w:cs="Arial"/>
                <w:b/>
                <w:sz w:val="24"/>
                <w:szCs w:val="24"/>
                <w:u w:val="single"/>
              </w:rPr>
              <w:lastRenderedPageBreak/>
              <w:t>Suggested IPL Activities</w:t>
            </w:r>
          </w:p>
        </w:tc>
      </w:tr>
      <w:tr w:rsidR="008B0D81" w:rsidRPr="00C83D7B" w14:paraId="7C363C03" w14:textId="77777777" w:rsidTr="00AF76DD">
        <w:tc>
          <w:tcPr>
            <w:tcW w:w="9209" w:type="dxa"/>
          </w:tcPr>
          <w:p w14:paraId="0A6FC070" w14:textId="77777777" w:rsidR="008B0D81" w:rsidRPr="00C83D7B" w:rsidRDefault="008B0D81" w:rsidP="008B0D81">
            <w:pPr>
              <w:spacing w:before="240" w:after="240" w:line="360" w:lineRule="auto"/>
              <w:rPr>
                <w:rFonts w:cs="Arial"/>
                <w:sz w:val="24"/>
                <w:szCs w:val="24"/>
              </w:rPr>
            </w:pPr>
            <w:r w:rsidRPr="00C83D7B">
              <w:rPr>
                <w:rFonts w:cs="Arial"/>
                <w:sz w:val="24"/>
                <w:szCs w:val="24"/>
              </w:rPr>
              <w:lastRenderedPageBreak/>
              <w:t>Students to be given a novel case and, using case history information, identify members of the MDT likely to be involved in client’s care (may also include identification of onward referral need and to whom).</w:t>
            </w:r>
          </w:p>
        </w:tc>
      </w:tr>
      <w:tr w:rsidR="00AF76DD" w:rsidRPr="00C83D7B" w14:paraId="3F9DF812" w14:textId="77777777" w:rsidTr="00AF76DD">
        <w:tc>
          <w:tcPr>
            <w:tcW w:w="9209" w:type="dxa"/>
          </w:tcPr>
          <w:p w14:paraId="47A92930" w14:textId="77777777" w:rsidR="00AF76DD" w:rsidRPr="00C83D7B" w:rsidRDefault="00AF76DD" w:rsidP="009D709B">
            <w:pPr>
              <w:spacing w:before="240" w:after="240" w:line="360" w:lineRule="auto"/>
              <w:rPr>
                <w:rFonts w:cs="Arial"/>
                <w:sz w:val="24"/>
                <w:szCs w:val="24"/>
              </w:rPr>
            </w:pPr>
            <w:r w:rsidRPr="00C83D7B">
              <w:rPr>
                <w:rFonts w:cs="Arial"/>
                <w:sz w:val="24"/>
                <w:szCs w:val="24"/>
              </w:rPr>
              <w:t>Identify a shared case for students to work with</w:t>
            </w:r>
            <w:r w:rsidR="005C13AD" w:rsidRPr="00C83D7B">
              <w:rPr>
                <w:rFonts w:cs="Arial"/>
                <w:sz w:val="24"/>
                <w:szCs w:val="24"/>
              </w:rPr>
              <w:t xml:space="preserve"> (current case or fictional case) </w:t>
            </w:r>
          </w:p>
        </w:tc>
      </w:tr>
      <w:tr w:rsidR="00AF76DD" w:rsidRPr="00C83D7B" w14:paraId="57CEA43F" w14:textId="77777777" w:rsidTr="00AF76DD">
        <w:tc>
          <w:tcPr>
            <w:tcW w:w="9209" w:type="dxa"/>
          </w:tcPr>
          <w:p w14:paraId="2A429804" w14:textId="36B47DE5" w:rsidR="00AF76DD" w:rsidRPr="00C83D7B" w:rsidRDefault="00AF76DD" w:rsidP="009D709B">
            <w:pPr>
              <w:spacing w:before="240" w:after="240" w:line="360" w:lineRule="auto"/>
              <w:rPr>
                <w:rFonts w:cs="Arial"/>
                <w:sz w:val="24"/>
                <w:szCs w:val="24"/>
              </w:rPr>
            </w:pPr>
            <w:r w:rsidRPr="00C83D7B">
              <w:rPr>
                <w:rFonts w:cs="Arial"/>
                <w:sz w:val="24"/>
                <w:szCs w:val="24"/>
              </w:rPr>
              <w:t>Set a group project (e</w:t>
            </w:r>
            <w:r w:rsidR="00C83D7B">
              <w:rPr>
                <w:rFonts w:cs="Arial"/>
                <w:sz w:val="24"/>
                <w:szCs w:val="24"/>
              </w:rPr>
              <w:t>.</w:t>
            </w:r>
            <w:r w:rsidRPr="00C83D7B">
              <w:rPr>
                <w:rFonts w:cs="Arial"/>
                <w:sz w:val="24"/>
                <w:szCs w:val="24"/>
              </w:rPr>
              <w:t xml:space="preserve">g. </w:t>
            </w:r>
            <w:proofErr w:type="spellStart"/>
            <w:r w:rsidRPr="00C83D7B">
              <w:rPr>
                <w:rFonts w:cs="Arial"/>
                <w:sz w:val="24"/>
                <w:szCs w:val="24"/>
              </w:rPr>
              <w:t>on wards</w:t>
            </w:r>
            <w:proofErr w:type="spellEnd"/>
            <w:r w:rsidRPr="00C83D7B">
              <w:rPr>
                <w:rFonts w:cs="Arial"/>
                <w:sz w:val="24"/>
                <w:szCs w:val="24"/>
              </w:rPr>
              <w:t>, within daycentre)</w:t>
            </w:r>
          </w:p>
        </w:tc>
      </w:tr>
      <w:tr w:rsidR="005C13AD" w:rsidRPr="00C83D7B" w14:paraId="21A9880A" w14:textId="77777777" w:rsidTr="00AF76DD">
        <w:tc>
          <w:tcPr>
            <w:tcW w:w="9209" w:type="dxa"/>
          </w:tcPr>
          <w:p w14:paraId="2D7FFA13" w14:textId="77777777" w:rsidR="005C13AD" w:rsidRPr="00C83D7B" w:rsidRDefault="005C13AD" w:rsidP="009D709B">
            <w:pPr>
              <w:spacing w:before="240" w:after="240" w:line="360" w:lineRule="auto"/>
              <w:rPr>
                <w:rFonts w:cs="Arial"/>
                <w:sz w:val="24"/>
                <w:szCs w:val="24"/>
              </w:rPr>
            </w:pPr>
            <w:r w:rsidRPr="00C83D7B">
              <w:rPr>
                <w:rFonts w:cs="Arial"/>
                <w:sz w:val="24"/>
                <w:szCs w:val="24"/>
              </w:rPr>
              <w:t xml:space="preserve">Students to carry out joint goal-setting, joint sessions </w:t>
            </w:r>
          </w:p>
        </w:tc>
      </w:tr>
      <w:tr w:rsidR="00AF76DD" w:rsidRPr="00C83D7B" w14:paraId="1ECA3F3F" w14:textId="77777777" w:rsidTr="00AF76DD">
        <w:tc>
          <w:tcPr>
            <w:tcW w:w="9209" w:type="dxa"/>
          </w:tcPr>
          <w:p w14:paraId="7FD4B900" w14:textId="77777777" w:rsidR="00AF76DD" w:rsidRPr="00C83D7B" w:rsidRDefault="00AF76DD" w:rsidP="009D709B">
            <w:pPr>
              <w:spacing w:before="240" w:after="240" w:line="360" w:lineRule="auto"/>
              <w:rPr>
                <w:rFonts w:cs="Arial"/>
                <w:sz w:val="24"/>
                <w:szCs w:val="24"/>
              </w:rPr>
            </w:pPr>
            <w:r w:rsidRPr="00C83D7B">
              <w:rPr>
                <w:rFonts w:cs="Arial"/>
                <w:sz w:val="24"/>
                <w:szCs w:val="24"/>
              </w:rPr>
              <w:t xml:space="preserve">Facilitate sharing of knowledge about a client (e.g. inter-professional case discussion group) </w:t>
            </w:r>
          </w:p>
        </w:tc>
      </w:tr>
      <w:tr w:rsidR="005C13AD" w:rsidRPr="00C83D7B" w14:paraId="3A8A03EC" w14:textId="77777777" w:rsidTr="00AF76DD">
        <w:tc>
          <w:tcPr>
            <w:tcW w:w="9209" w:type="dxa"/>
          </w:tcPr>
          <w:p w14:paraId="4FE90C4F" w14:textId="77777777" w:rsidR="005C13AD" w:rsidRPr="00C83D7B" w:rsidRDefault="005C13AD" w:rsidP="009D709B">
            <w:pPr>
              <w:spacing w:before="240" w:after="240" w:line="360" w:lineRule="auto"/>
              <w:rPr>
                <w:rFonts w:cs="Arial"/>
                <w:sz w:val="24"/>
                <w:szCs w:val="24"/>
              </w:rPr>
            </w:pPr>
            <w:r w:rsidRPr="00C83D7B">
              <w:rPr>
                <w:rFonts w:cs="Arial"/>
                <w:sz w:val="24"/>
                <w:szCs w:val="24"/>
              </w:rPr>
              <w:t xml:space="preserve">Joint report writing </w:t>
            </w:r>
          </w:p>
        </w:tc>
      </w:tr>
      <w:tr w:rsidR="00DD7D14" w:rsidRPr="00C83D7B" w14:paraId="1E009F0B" w14:textId="77777777" w:rsidTr="00AF76DD">
        <w:tc>
          <w:tcPr>
            <w:tcW w:w="9209" w:type="dxa"/>
          </w:tcPr>
          <w:p w14:paraId="18E227B7" w14:textId="77777777" w:rsidR="00DD7D14" w:rsidRPr="00C83D7B" w:rsidRDefault="00DD7D14" w:rsidP="009D709B">
            <w:pPr>
              <w:spacing w:before="240" w:after="240" w:line="360" w:lineRule="auto"/>
              <w:rPr>
                <w:rFonts w:cs="Arial"/>
                <w:sz w:val="24"/>
                <w:szCs w:val="24"/>
              </w:rPr>
            </w:pPr>
            <w:bookmarkStart w:id="0" w:name="_GoBack"/>
            <w:bookmarkEnd w:id="0"/>
          </w:p>
          <w:p w14:paraId="371A4C3B" w14:textId="77777777" w:rsidR="00DD7D14" w:rsidRPr="00C83D7B" w:rsidRDefault="00DD7D14" w:rsidP="009D709B">
            <w:pPr>
              <w:spacing w:before="240" w:after="240" w:line="360" w:lineRule="auto"/>
              <w:rPr>
                <w:rFonts w:cs="Arial"/>
                <w:sz w:val="24"/>
                <w:szCs w:val="24"/>
              </w:rPr>
            </w:pPr>
          </w:p>
          <w:p w14:paraId="06EB487B" w14:textId="77777777" w:rsidR="00DD7D14" w:rsidRPr="00C83D7B" w:rsidRDefault="00DD7D14" w:rsidP="009D709B">
            <w:pPr>
              <w:spacing w:before="240" w:after="240" w:line="360" w:lineRule="auto"/>
              <w:rPr>
                <w:rFonts w:cs="Arial"/>
                <w:sz w:val="24"/>
                <w:szCs w:val="24"/>
              </w:rPr>
            </w:pPr>
          </w:p>
          <w:p w14:paraId="32CA8297" w14:textId="77777777" w:rsidR="00DD7D14" w:rsidRPr="00C83D7B" w:rsidRDefault="00DD7D14" w:rsidP="009D709B">
            <w:pPr>
              <w:spacing w:before="240" w:after="240" w:line="36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5BC54AAD" w14:textId="77777777" w:rsidR="00FE0D24" w:rsidRPr="004A69D6" w:rsidRDefault="00FE0D24" w:rsidP="00FE0D24">
      <w:pPr>
        <w:spacing w:before="240" w:after="240" w:line="360" w:lineRule="auto"/>
        <w:rPr>
          <w:rFonts w:ascii="Arial" w:hAnsi="Arial" w:cs="Arial"/>
        </w:rPr>
      </w:pPr>
    </w:p>
    <w:p w14:paraId="2E2BAAB2" w14:textId="77777777" w:rsidR="005C683E" w:rsidRDefault="005C683E" w:rsidP="004A69D6">
      <w:pPr>
        <w:spacing w:before="240" w:after="240" w:line="360" w:lineRule="auto"/>
      </w:pPr>
    </w:p>
    <w:sectPr w:rsidR="005C683E" w:rsidSect="005A2DC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468335" w14:textId="77777777" w:rsidR="0051163A" w:rsidRDefault="0051163A" w:rsidP="0051163A">
      <w:pPr>
        <w:spacing w:after="0" w:line="240" w:lineRule="auto"/>
      </w:pPr>
      <w:r>
        <w:separator/>
      </w:r>
    </w:p>
  </w:endnote>
  <w:endnote w:type="continuationSeparator" w:id="0">
    <w:p w14:paraId="7247AD41" w14:textId="77777777" w:rsidR="0051163A" w:rsidRDefault="0051163A" w:rsidP="00511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AE613" w14:textId="4614C2B2" w:rsidR="0051163A" w:rsidRPr="0051163A" w:rsidRDefault="00441461">
    <w:pPr>
      <w:pStyle w:val="Footer"/>
      <w:rPr>
        <w:sz w:val="20"/>
        <w:szCs w:val="20"/>
      </w:rPr>
    </w:pPr>
    <w:r>
      <w:rPr>
        <w:sz w:val="20"/>
        <w:szCs w:val="20"/>
      </w:rPr>
      <w:t>Helpful H</w:t>
    </w:r>
    <w:r w:rsidR="0051163A" w:rsidRPr="0051163A">
      <w:rPr>
        <w:sz w:val="20"/>
        <w:szCs w:val="20"/>
      </w:rPr>
      <w:t>ints</w:t>
    </w:r>
    <w:r w:rsidRPr="00441461">
      <w:t xml:space="preserve"> </w:t>
    </w:r>
    <w:r w:rsidRPr="00441461">
      <w:rPr>
        <w:sz w:val="20"/>
        <w:szCs w:val="20"/>
      </w:rPr>
      <w:t>for Supporting Inter-professional Working and Learning on Placement</w:t>
    </w:r>
    <w:r>
      <w:rPr>
        <w:sz w:val="20"/>
        <w:szCs w:val="20"/>
      </w:rPr>
      <w:t>;</w:t>
    </w:r>
    <w:r w:rsidR="0051163A" w:rsidRPr="0051163A">
      <w:rPr>
        <w:sz w:val="20"/>
        <w:szCs w:val="20"/>
      </w:rPr>
      <w:t xml:space="preserve"> generated by clinicians during the Inter-pr</w:t>
    </w:r>
    <w:r w:rsidR="0051163A">
      <w:rPr>
        <w:sz w:val="20"/>
        <w:szCs w:val="20"/>
      </w:rPr>
      <w:t>ofessional Learning and Working</w:t>
    </w:r>
    <w:r w:rsidR="0051163A" w:rsidRPr="0051163A">
      <w:rPr>
        <w:sz w:val="20"/>
        <w:szCs w:val="20"/>
      </w:rPr>
      <w:t xml:space="preserve"> Advanced Clinica</w:t>
    </w:r>
    <w:r>
      <w:rPr>
        <w:sz w:val="20"/>
        <w:szCs w:val="20"/>
      </w:rPr>
      <w:t>l Educator Workshop, April 2014</w:t>
    </w:r>
    <w:r w:rsidR="0051163A" w:rsidRPr="0051163A">
      <w:rPr>
        <w:sz w:val="20"/>
        <w:szCs w:val="20"/>
      </w:rPr>
      <w:t>.</w:t>
    </w:r>
  </w:p>
  <w:p w14:paraId="44F9138F" w14:textId="77777777" w:rsidR="0051163A" w:rsidRPr="0051163A" w:rsidRDefault="0051163A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BBD24A" w14:textId="77777777" w:rsidR="0051163A" w:rsidRDefault="0051163A" w:rsidP="0051163A">
      <w:pPr>
        <w:spacing w:after="0" w:line="240" w:lineRule="auto"/>
      </w:pPr>
      <w:r>
        <w:separator/>
      </w:r>
    </w:p>
  </w:footnote>
  <w:footnote w:type="continuationSeparator" w:id="0">
    <w:p w14:paraId="2A32B7E5" w14:textId="77777777" w:rsidR="0051163A" w:rsidRDefault="0051163A" w:rsidP="00511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C6542"/>
    <w:multiLevelType w:val="hybridMultilevel"/>
    <w:tmpl w:val="CC9875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9C5BDB"/>
    <w:multiLevelType w:val="hybridMultilevel"/>
    <w:tmpl w:val="371A652E"/>
    <w:lvl w:ilvl="0" w:tplc="860AC7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F244D"/>
    <w:multiLevelType w:val="hybridMultilevel"/>
    <w:tmpl w:val="9190D3D0"/>
    <w:lvl w:ilvl="0" w:tplc="271833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82EF5"/>
    <w:multiLevelType w:val="hybridMultilevel"/>
    <w:tmpl w:val="3DE4E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835BB"/>
    <w:multiLevelType w:val="hybridMultilevel"/>
    <w:tmpl w:val="972A9CF2"/>
    <w:lvl w:ilvl="0" w:tplc="B9CA09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115"/>
    <w:rsid w:val="00032B1C"/>
    <w:rsid w:val="00087686"/>
    <w:rsid w:val="000C04BA"/>
    <w:rsid w:val="001A744A"/>
    <w:rsid w:val="002D0876"/>
    <w:rsid w:val="003F2576"/>
    <w:rsid w:val="004243A4"/>
    <w:rsid w:val="00433463"/>
    <w:rsid w:val="00441461"/>
    <w:rsid w:val="004A69D6"/>
    <w:rsid w:val="004B1560"/>
    <w:rsid w:val="004C2624"/>
    <w:rsid w:val="00501777"/>
    <w:rsid w:val="0051163A"/>
    <w:rsid w:val="005A2DC6"/>
    <w:rsid w:val="005B7F6D"/>
    <w:rsid w:val="005C13AD"/>
    <w:rsid w:val="005C683E"/>
    <w:rsid w:val="00680B83"/>
    <w:rsid w:val="00726D94"/>
    <w:rsid w:val="007A5855"/>
    <w:rsid w:val="007B5EC1"/>
    <w:rsid w:val="00847FFA"/>
    <w:rsid w:val="00864EE8"/>
    <w:rsid w:val="00870626"/>
    <w:rsid w:val="008B0D81"/>
    <w:rsid w:val="009A623C"/>
    <w:rsid w:val="009B12F4"/>
    <w:rsid w:val="009D709B"/>
    <w:rsid w:val="00A5446E"/>
    <w:rsid w:val="00AF65F6"/>
    <w:rsid w:val="00AF76DD"/>
    <w:rsid w:val="00B94C32"/>
    <w:rsid w:val="00B95100"/>
    <w:rsid w:val="00BC790B"/>
    <w:rsid w:val="00BE7115"/>
    <w:rsid w:val="00C57366"/>
    <w:rsid w:val="00C70073"/>
    <w:rsid w:val="00C83D7B"/>
    <w:rsid w:val="00D06190"/>
    <w:rsid w:val="00D76B2C"/>
    <w:rsid w:val="00D93933"/>
    <w:rsid w:val="00D9663B"/>
    <w:rsid w:val="00DC4B06"/>
    <w:rsid w:val="00DD3502"/>
    <w:rsid w:val="00DD7D14"/>
    <w:rsid w:val="00F42FC6"/>
    <w:rsid w:val="00F51B9B"/>
    <w:rsid w:val="00FE0D24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A1DAB"/>
  <w15:docId w15:val="{76ED1B18-DE7A-4214-824F-A02E239F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DC6"/>
  </w:style>
  <w:style w:type="paragraph" w:styleId="Heading1">
    <w:name w:val="heading 1"/>
    <w:basedOn w:val="Normal"/>
    <w:next w:val="Normal"/>
    <w:link w:val="Heading1Char"/>
    <w:uiPriority w:val="9"/>
    <w:qFormat/>
    <w:rsid w:val="008706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9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1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63A"/>
  </w:style>
  <w:style w:type="paragraph" w:styleId="Footer">
    <w:name w:val="footer"/>
    <w:basedOn w:val="Normal"/>
    <w:link w:val="FooterChar"/>
    <w:uiPriority w:val="99"/>
    <w:unhideWhenUsed/>
    <w:rsid w:val="00511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63A"/>
  </w:style>
  <w:style w:type="table" w:styleId="TableGrid">
    <w:name w:val="Table Grid"/>
    <w:basedOn w:val="TableNormal"/>
    <w:uiPriority w:val="59"/>
    <w:rsid w:val="00FE0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26D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6D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6D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D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D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D94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44146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41461"/>
    <w:rPr>
      <w:rFonts w:ascii="Calibri" w:hAnsi="Calibri"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5C683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706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2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njmw7</dc:creator>
  <cp:lastModifiedBy>Janet Webster</cp:lastModifiedBy>
  <cp:revision>8</cp:revision>
  <cp:lastPrinted>2010-03-29T08:17:00Z</cp:lastPrinted>
  <dcterms:created xsi:type="dcterms:W3CDTF">2014-09-19T11:40:00Z</dcterms:created>
  <dcterms:modified xsi:type="dcterms:W3CDTF">2017-07-07T13:30:00Z</dcterms:modified>
</cp:coreProperties>
</file>